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80"/>
        <w:tblW w:w="5000" w:type="pct"/>
        <w:tblLook w:val="01E0"/>
      </w:tblPr>
      <w:tblGrid>
        <w:gridCol w:w="4117"/>
        <w:gridCol w:w="5737"/>
      </w:tblGrid>
      <w:tr w:rsidR="00141CB6" w:rsidRPr="00966F5E" w:rsidTr="00622DEA">
        <w:tc>
          <w:tcPr>
            <w:tcW w:w="2089" w:type="pct"/>
          </w:tcPr>
          <w:p w:rsidR="00141CB6" w:rsidRPr="00966F5E" w:rsidRDefault="00141CB6" w:rsidP="00622DEA">
            <w:pPr>
              <w:spacing w:after="0" w:line="240" w:lineRule="auto"/>
              <w:jc w:val="center"/>
              <w:rPr>
                <w:color w:val="0000CC"/>
                <w:sz w:val="26"/>
                <w:highlight w:val="white"/>
              </w:rPr>
            </w:pPr>
            <w:r w:rsidRPr="00966F5E">
              <w:rPr>
                <w:color w:val="0000CC"/>
                <w:sz w:val="26"/>
                <w:highlight w:val="white"/>
              </w:rPr>
              <w:t>CÔNG AN TỈNH BÌNH ĐỊNH</w:t>
            </w:r>
          </w:p>
          <w:p w:rsidR="00141CB6" w:rsidRPr="00966F5E" w:rsidRDefault="00DE7D16" w:rsidP="00622DEA">
            <w:pPr>
              <w:spacing w:after="0" w:line="240" w:lineRule="auto"/>
              <w:jc w:val="center"/>
              <w:rPr>
                <w:b/>
                <w:color w:val="0000CC"/>
                <w:highlight w:val="white"/>
              </w:rPr>
            </w:pPr>
            <w:r w:rsidRPr="00DE7D16">
              <w:rPr>
                <w:b/>
                <w:noProof/>
                <w:color w:val="0000CC"/>
                <w:highlight w:val="white"/>
              </w:rPr>
              <w:pict>
                <v:line id="_x0000_s1026" style="position:absolute;left:0;text-align:left;z-index:251660288" from="54.85pt,18.15pt" to="144.85pt,18.15pt"/>
              </w:pict>
            </w:r>
            <w:r w:rsidR="00141CB6" w:rsidRPr="00966F5E">
              <w:rPr>
                <w:b/>
                <w:color w:val="0000CC"/>
                <w:highlight w:val="white"/>
              </w:rPr>
              <w:t>CÔNG AN HUYỆN AN LÃO</w:t>
            </w:r>
          </w:p>
        </w:tc>
        <w:tc>
          <w:tcPr>
            <w:tcW w:w="2911" w:type="pct"/>
          </w:tcPr>
          <w:p w:rsidR="00141CB6" w:rsidRPr="00966F5E" w:rsidRDefault="00141CB6" w:rsidP="00622DEA">
            <w:pPr>
              <w:spacing w:after="0" w:line="240" w:lineRule="auto"/>
              <w:jc w:val="center"/>
              <w:rPr>
                <w:b/>
                <w:color w:val="0000CC"/>
                <w:sz w:val="26"/>
                <w:highlight w:val="white"/>
              </w:rPr>
            </w:pPr>
            <w:r w:rsidRPr="00966F5E">
              <w:rPr>
                <w:b/>
                <w:color w:val="0000CC"/>
                <w:sz w:val="26"/>
                <w:highlight w:val="white"/>
              </w:rPr>
              <w:t>CỘNG HÒA XÃ HỘI CHỦ NGHĨA VIỆT NAM</w:t>
            </w:r>
          </w:p>
          <w:p w:rsidR="00141CB6" w:rsidRPr="00966F5E" w:rsidRDefault="00141CB6" w:rsidP="00622DEA">
            <w:pPr>
              <w:spacing w:after="0" w:line="240" w:lineRule="auto"/>
              <w:jc w:val="center"/>
              <w:rPr>
                <w:b/>
                <w:color w:val="0000CC"/>
                <w:highlight w:val="white"/>
              </w:rPr>
            </w:pPr>
            <w:r w:rsidRPr="00966F5E">
              <w:rPr>
                <w:b/>
                <w:color w:val="0000CC"/>
                <w:highlight w:val="white"/>
              </w:rPr>
              <w:t>Độc lập – Tự do – Hạnh phúc</w:t>
            </w:r>
          </w:p>
          <w:p w:rsidR="00141CB6" w:rsidRPr="00966F5E" w:rsidRDefault="00DE7D16" w:rsidP="00622DEA">
            <w:pPr>
              <w:spacing w:after="0" w:line="240" w:lineRule="auto"/>
              <w:rPr>
                <w:b/>
                <w:color w:val="0000CC"/>
                <w:highlight w:val="white"/>
              </w:rPr>
            </w:pPr>
            <w:r w:rsidRPr="00DE7D16">
              <w:rPr>
                <w:b/>
                <w:noProof/>
                <w:color w:val="0000CC"/>
                <w:highlight w:val="white"/>
              </w:rPr>
              <w:pict>
                <v:line id="_x0000_s1027" style="position:absolute;z-index:251661312" from="52.3pt,3.05pt" to="226.3pt,3.05pt"/>
              </w:pict>
            </w:r>
          </w:p>
        </w:tc>
      </w:tr>
      <w:tr w:rsidR="00141CB6" w:rsidRPr="00966F5E" w:rsidTr="00622DEA">
        <w:tc>
          <w:tcPr>
            <w:tcW w:w="2089" w:type="pct"/>
            <w:vAlign w:val="center"/>
          </w:tcPr>
          <w:p w:rsidR="00141CB6" w:rsidRPr="00966F5E" w:rsidRDefault="00141CB6" w:rsidP="00172988">
            <w:pPr>
              <w:spacing w:after="0" w:line="240" w:lineRule="auto"/>
              <w:jc w:val="center"/>
              <w:rPr>
                <w:color w:val="0000CC"/>
                <w:sz w:val="26"/>
                <w:szCs w:val="26"/>
                <w:highlight w:val="white"/>
              </w:rPr>
            </w:pPr>
            <w:r w:rsidRPr="00966F5E">
              <w:rPr>
                <w:color w:val="0000CC"/>
                <w:sz w:val="26"/>
                <w:szCs w:val="26"/>
                <w:highlight w:val="white"/>
              </w:rPr>
              <w:t xml:space="preserve">Số: </w:t>
            </w:r>
            <w:r w:rsidR="00172988">
              <w:rPr>
                <w:color w:val="0000CC"/>
                <w:sz w:val="26"/>
                <w:szCs w:val="26"/>
                <w:highlight w:val="white"/>
              </w:rPr>
              <w:t>328/</w:t>
            </w:r>
            <w:r w:rsidR="00C4479C">
              <w:rPr>
                <w:color w:val="0000CC"/>
                <w:sz w:val="26"/>
                <w:szCs w:val="26"/>
                <w:highlight w:val="white"/>
              </w:rPr>
              <w:t>TB</w:t>
            </w:r>
            <w:r w:rsidR="00DE756B">
              <w:rPr>
                <w:color w:val="0000CC"/>
                <w:sz w:val="26"/>
                <w:szCs w:val="26"/>
                <w:highlight w:val="white"/>
              </w:rPr>
              <w:t>-</w:t>
            </w:r>
            <w:r w:rsidRPr="00966F5E">
              <w:rPr>
                <w:color w:val="0000CC"/>
                <w:sz w:val="26"/>
                <w:szCs w:val="26"/>
                <w:highlight w:val="white"/>
              </w:rPr>
              <w:t>CAH-TH</w:t>
            </w:r>
          </w:p>
        </w:tc>
        <w:tc>
          <w:tcPr>
            <w:tcW w:w="2911" w:type="pct"/>
            <w:vAlign w:val="center"/>
          </w:tcPr>
          <w:p w:rsidR="00141CB6" w:rsidRPr="00966F5E" w:rsidRDefault="00141CB6" w:rsidP="00172988">
            <w:pPr>
              <w:jc w:val="center"/>
              <w:rPr>
                <w:color w:val="0000CC"/>
                <w:sz w:val="26"/>
                <w:szCs w:val="26"/>
                <w:highlight w:val="white"/>
              </w:rPr>
            </w:pPr>
            <w:r w:rsidRPr="00966F5E">
              <w:rPr>
                <w:i/>
                <w:color w:val="0000CC"/>
                <w:sz w:val="26"/>
                <w:szCs w:val="26"/>
                <w:highlight w:val="white"/>
              </w:rPr>
              <w:t xml:space="preserve">An Lão, ngày </w:t>
            </w:r>
            <w:r w:rsidR="00172988">
              <w:rPr>
                <w:i/>
                <w:color w:val="0000CC"/>
                <w:sz w:val="26"/>
                <w:szCs w:val="26"/>
                <w:highlight w:val="white"/>
              </w:rPr>
              <w:t>14</w:t>
            </w:r>
            <w:r w:rsidRPr="00966F5E">
              <w:rPr>
                <w:i/>
                <w:color w:val="0000CC"/>
                <w:sz w:val="26"/>
                <w:szCs w:val="26"/>
                <w:highlight w:val="white"/>
              </w:rPr>
              <w:t xml:space="preserve"> tháng</w:t>
            </w:r>
            <w:r>
              <w:rPr>
                <w:i/>
                <w:color w:val="0000CC"/>
                <w:sz w:val="26"/>
                <w:szCs w:val="26"/>
                <w:highlight w:val="white"/>
              </w:rPr>
              <w:t xml:space="preserve"> 0</w:t>
            </w:r>
            <w:r w:rsidR="007523EA">
              <w:rPr>
                <w:i/>
                <w:color w:val="0000CC"/>
                <w:sz w:val="26"/>
                <w:szCs w:val="26"/>
                <w:highlight w:val="white"/>
              </w:rPr>
              <w:t>3</w:t>
            </w:r>
            <w:r w:rsidRPr="00966F5E">
              <w:rPr>
                <w:i/>
                <w:color w:val="0000CC"/>
                <w:sz w:val="26"/>
                <w:szCs w:val="26"/>
                <w:highlight w:val="white"/>
              </w:rPr>
              <w:t xml:space="preserve"> năm 2022</w:t>
            </w:r>
          </w:p>
        </w:tc>
      </w:tr>
      <w:tr w:rsidR="00141CB6" w:rsidRPr="00966F5E" w:rsidTr="000E62DE">
        <w:trPr>
          <w:trHeight w:val="269"/>
        </w:trPr>
        <w:tc>
          <w:tcPr>
            <w:tcW w:w="2089" w:type="pct"/>
            <w:vAlign w:val="center"/>
          </w:tcPr>
          <w:p w:rsidR="00141CB6" w:rsidRPr="000E62DE" w:rsidRDefault="00141CB6" w:rsidP="00DE756B">
            <w:pPr>
              <w:spacing w:after="0" w:line="240" w:lineRule="auto"/>
              <w:jc w:val="center"/>
              <w:rPr>
                <w:color w:val="0000CC"/>
                <w:sz w:val="16"/>
                <w:szCs w:val="16"/>
                <w:highlight w:val="white"/>
              </w:rPr>
            </w:pPr>
          </w:p>
        </w:tc>
        <w:tc>
          <w:tcPr>
            <w:tcW w:w="2911" w:type="pct"/>
            <w:vAlign w:val="center"/>
          </w:tcPr>
          <w:p w:rsidR="00141CB6" w:rsidRPr="000E62DE" w:rsidRDefault="00141CB6" w:rsidP="00622DEA">
            <w:pPr>
              <w:jc w:val="center"/>
              <w:rPr>
                <w:i/>
                <w:color w:val="0000CC"/>
                <w:sz w:val="16"/>
                <w:szCs w:val="16"/>
                <w:highlight w:val="white"/>
              </w:rPr>
            </w:pPr>
          </w:p>
        </w:tc>
      </w:tr>
    </w:tbl>
    <w:p w:rsidR="00141CB6" w:rsidRPr="009B589E" w:rsidRDefault="009B589E" w:rsidP="009B589E">
      <w:pPr>
        <w:spacing w:after="0" w:line="240" w:lineRule="auto"/>
        <w:jc w:val="center"/>
        <w:rPr>
          <w:b/>
        </w:rPr>
      </w:pPr>
      <w:r w:rsidRPr="009B589E">
        <w:rPr>
          <w:b/>
        </w:rPr>
        <w:t>THÔNG BÁO</w:t>
      </w:r>
    </w:p>
    <w:p w:rsidR="009B589E" w:rsidRPr="009B589E" w:rsidRDefault="009B589E" w:rsidP="009B589E">
      <w:pPr>
        <w:spacing w:after="0" w:line="240" w:lineRule="auto"/>
        <w:jc w:val="center"/>
        <w:rPr>
          <w:b/>
        </w:rPr>
      </w:pPr>
      <w:r w:rsidRPr="009B589E">
        <w:rPr>
          <w:b/>
        </w:rPr>
        <w:t>Về công tác tuyển sinh chính quy tuyển mới trong CAND năm 2022</w:t>
      </w:r>
    </w:p>
    <w:p w:rsidR="00141CB6" w:rsidRDefault="00DE7D16" w:rsidP="00141CB6">
      <w:pPr>
        <w:spacing w:after="0" w:line="240" w:lineRule="auto"/>
        <w:ind w:firstLine="2410"/>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213.95pt;margin-top:3.65pt;width:44.2pt;height:0;z-index:251662336" o:connectortype="straight"/>
        </w:pict>
      </w:r>
    </w:p>
    <w:p w:rsidR="00141CB6" w:rsidRDefault="009B589E" w:rsidP="00141CB6">
      <w:pPr>
        <w:ind w:firstLine="709"/>
        <w:jc w:val="both"/>
      </w:pPr>
      <w:r>
        <w:t>Căn cứ Kế hoạch số</w:t>
      </w:r>
      <w:r w:rsidR="00172988">
        <w:t xml:space="preserve"> </w:t>
      </w:r>
      <w:r w:rsidR="006D1B4C">
        <w:t>889/KH-CAT-PX01 ngày 01/3/2022 của Công an tỉnh Bình Định về việc tổ chức thực hiện công tác tuyển sinh đại học chính quy tuyển mới trong CAND năm 2022, Công an huyện An Lão thông báo như sau:</w:t>
      </w:r>
    </w:p>
    <w:p w:rsidR="00141CB6" w:rsidRPr="00DF1D68" w:rsidRDefault="00141CB6" w:rsidP="00141CB6">
      <w:pPr>
        <w:ind w:firstLine="709"/>
        <w:jc w:val="both"/>
        <w:rPr>
          <w:b/>
        </w:rPr>
      </w:pPr>
      <w:r w:rsidRPr="00DF1D68">
        <w:rPr>
          <w:b/>
        </w:rPr>
        <w:t>1. Đối tượng dự tuyển:</w:t>
      </w:r>
    </w:p>
    <w:p w:rsidR="00141CB6" w:rsidRDefault="00141CB6" w:rsidP="00141CB6">
      <w:pPr>
        <w:ind w:firstLine="709"/>
        <w:jc w:val="both"/>
      </w:pPr>
      <w:r>
        <w:t>- Chiến sĩ nghĩa vụ Công an tạ</w:t>
      </w:r>
      <w:r w:rsidR="008263D7">
        <w:t>i ngũ.</w:t>
      </w:r>
    </w:p>
    <w:p w:rsidR="00141CB6" w:rsidRDefault="00141CB6" w:rsidP="00141CB6">
      <w:pPr>
        <w:ind w:firstLine="709"/>
        <w:jc w:val="both"/>
      </w:pPr>
      <w:r>
        <w:t>- Công dân hoàn thành nghĩa vụ tham gia CAND có quyết định xuất ngũ không quá 12 tháng kể từ tháng sơ tuyể</w:t>
      </w:r>
      <w:r w:rsidR="008263D7">
        <w:t>n.</w:t>
      </w:r>
    </w:p>
    <w:p w:rsidR="00141CB6" w:rsidRDefault="00141CB6" w:rsidP="00141CB6">
      <w:pPr>
        <w:ind w:firstLine="709"/>
        <w:jc w:val="both"/>
      </w:pPr>
      <w:r>
        <w:t>- Công dân thường trú trên địa bàn huyện.</w:t>
      </w:r>
    </w:p>
    <w:p w:rsidR="00141CB6" w:rsidRPr="00DF1D68" w:rsidRDefault="00141CB6" w:rsidP="00141CB6">
      <w:pPr>
        <w:ind w:firstLine="709"/>
        <w:jc w:val="both"/>
        <w:rPr>
          <w:b/>
        </w:rPr>
      </w:pPr>
      <w:r w:rsidRPr="00DF1D68">
        <w:rPr>
          <w:b/>
        </w:rPr>
        <w:t>2. Điều kiện dự tuyển</w:t>
      </w:r>
    </w:p>
    <w:p w:rsidR="00141CB6" w:rsidRDefault="00141CB6" w:rsidP="00141CB6">
      <w:pPr>
        <w:ind w:firstLine="709"/>
        <w:jc w:val="both"/>
      </w:pPr>
      <w:r>
        <w:t>Người đăng ký dự tuyển ngoài đảm bảo các điều kiện theo quy định của pháp luật và của Bộ Giáo dục và Đào tạo, phải đáp ứng đủ các điều kiện sau:</w:t>
      </w:r>
    </w:p>
    <w:p w:rsidR="00141CB6" w:rsidRDefault="00141CB6" w:rsidP="00141CB6">
      <w:pPr>
        <w:ind w:firstLine="709"/>
        <w:jc w:val="both"/>
      </w:pPr>
      <w:r>
        <w:t>- Có đủ tiêu chuẩn về chính trị, phẩm chất đạo đức theo quy định hiện hành của Bộ Công an.</w:t>
      </w:r>
    </w:p>
    <w:p w:rsidR="00141CB6" w:rsidRDefault="00141CB6" w:rsidP="00141CB6">
      <w:pPr>
        <w:ind w:firstLine="709"/>
        <w:jc w:val="both"/>
      </w:pPr>
      <w:r>
        <w:t xml:space="preserve">- Chiến sĩ nghĩa vụ công an có thời gian công tác từ 15 tháng trở lên tính đến tháng dự tuyển; </w:t>
      </w:r>
      <w:r w:rsidR="00DE756B">
        <w:t xml:space="preserve">phân loại cán bộ </w:t>
      </w:r>
      <w:r>
        <w:t>đạt mức “Hoàn thành nhiệm vụ” trở lên trong năm liền trước với năm dự tuyển.</w:t>
      </w:r>
    </w:p>
    <w:p w:rsidR="00141CB6" w:rsidRDefault="00141CB6" w:rsidP="00141CB6">
      <w:pPr>
        <w:ind w:firstLine="709"/>
        <w:jc w:val="both"/>
      </w:pPr>
      <w:r>
        <w:t xml:space="preserve">- Công dân hoàn thành nghĩa vụ tham gia CAND trong thời gian tại ngũ có kết quả </w:t>
      </w:r>
      <w:r w:rsidR="00DE756B">
        <w:t>phân loại cán bộ</w:t>
      </w:r>
      <w:r>
        <w:t xml:space="preserve"> “Hoàn thành nhiệm vụ” trở lên, trong đó có ít nhất 01 năm được </w:t>
      </w:r>
      <w:r w:rsidR="00DE756B">
        <w:t>phân</w:t>
      </w:r>
      <w:r>
        <w:t xml:space="preserve"> loại “Hoàn thành tốt nhiệm vụ”.</w:t>
      </w:r>
    </w:p>
    <w:p w:rsidR="00141CB6" w:rsidRDefault="00141CB6" w:rsidP="00141CB6">
      <w:pPr>
        <w:ind w:firstLine="709"/>
        <w:jc w:val="both"/>
      </w:pPr>
      <w:r>
        <w:t>- Công dân có hộ khẩu thường trú trên địa bàn huyện trong những năm học trung học phổ thông hoặc tương đư</w:t>
      </w:r>
      <w:r w:rsidR="000920D7">
        <w:t>ơ</w:t>
      </w:r>
      <w:r>
        <w:t xml:space="preserve">ng có hành kiểm đạt loại khá trở lên </w:t>
      </w:r>
      <w:r w:rsidRPr="007523EA">
        <w:t>(theo kết luận học bạ)</w:t>
      </w:r>
      <w:r>
        <w:rPr>
          <w:i/>
        </w:rPr>
        <w:t xml:space="preserve">; </w:t>
      </w:r>
      <w:r>
        <w:t>chưa kết hôn, chưa có con đẻ, con nuôi theo quy định của pháp luật.</w:t>
      </w:r>
    </w:p>
    <w:p w:rsidR="00141CB6" w:rsidRDefault="00141CB6" w:rsidP="00141CB6">
      <w:pPr>
        <w:ind w:firstLine="709"/>
        <w:jc w:val="both"/>
        <w:rPr>
          <w:i/>
        </w:rPr>
      </w:pPr>
      <w:r>
        <w:t xml:space="preserve">- Trong những năm học trung học phổ thông hoặc tương đương đạt học lực từ loại khá trở lên </w:t>
      </w:r>
      <w:r w:rsidRPr="007523EA">
        <w:t>(theo kết luận học bạ):</w:t>
      </w:r>
    </w:p>
    <w:p w:rsidR="00141CB6" w:rsidRPr="00DE756B" w:rsidRDefault="00141CB6" w:rsidP="00141CB6">
      <w:pPr>
        <w:ind w:firstLine="709"/>
        <w:jc w:val="both"/>
        <w:rPr>
          <w:spacing w:val="-8"/>
        </w:rPr>
      </w:pPr>
      <w:r w:rsidRPr="00DE756B">
        <w:rPr>
          <w:spacing w:val="-8"/>
        </w:rPr>
        <w:t>+ Đối với chiến sĩ nghĩa vụ công an và công dân hoàn thành nghĩa vụ tham gia CAND: Từng môn thuộc tổ hợp xét tuyển vào trường CAND phải đạt từ 6,5 điểm trở lên.</w:t>
      </w:r>
    </w:p>
    <w:p w:rsidR="00141CB6" w:rsidRDefault="00141CB6" w:rsidP="00141CB6">
      <w:pPr>
        <w:ind w:firstLine="709"/>
        <w:jc w:val="both"/>
      </w:pPr>
      <w:r>
        <w:t xml:space="preserve">+ Đối với công </w:t>
      </w:r>
      <w:r w:rsidR="00585BE9">
        <w:t>d</w:t>
      </w:r>
      <w:r>
        <w:t xml:space="preserve">ân thường trú trên địa bàn huyện: </w:t>
      </w:r>
      <w:r w:rsidRPr="00D17A2F">
        <w:t xml:space="preserve">Từng môn thuộc tổ hợp xét tuyển vào trường CAND phải đạt từ </w:t>
      </w:r>
      <w:r>
        <w:t>7,0</w:t>
      </w:r>
      <w:r w:rsidRPr="00D17A2F">
        <w:t xml:space="preserve"> điểm trở lên</w:t>
      </w:r>
      <w:r>
        <w:t xml:space="preserve">, trường hợp là người dân tộc </w:t>
      </w:r>
      <w:r>
        <w:lastRenderedPageBreak/>
        <w:t>thiểu số thì từng môn thuộc tổ hợp xét tuyển vào trường CAND phải đạt từ 6,5 điểm trở lên.</w:t>
      </w:r>
    </w:p>
    <w:p w:rsidR="00141CB6" w:rsidRDefault="00141CB6" w:rsidP="00141CB6">
      <w:pPr>
        <w:ind w:firstLine="709"/>
        <w:jc w:val="both"/>
      </w:pPr>
      <w:r>
        <w:t>- Tính đến năm dự tuyển, công dân thường trú trên địa bàn huyện không quá 22 tuổi, trường hợp là người dân tộc thiểu số thì không quá 25 tuổi.</w:t>
      </w:r>
    </w:p>
    <w:p w:rsidR="00141CB6" w:rsidRDefault="00141CB6" w:rsidP="00141CB6">
      <w:pPr>
        <w:ind w:firstLine="709"/>
        <w:jc w:val="both"/>
      </w:pPr>
      <w:r>
        <w:t>- Đủ tiêu chuẩn sức khỏe tuyển vào CAND theo quy định về tiêu chuẩn sức khỏe của Bộ Công an:</w:t>
      </w:r>
    </w:p>
    <w:p w:rsidR="00141CB6" w:rsidRDefault="00141CB6" w:rsidP="00141CB6">
      <w:pPr>
        <w:ind w:firstLine="709"/>
        <w:jc w:val="both"/>
      </w:pPr>
      <w:r>
        <w:t>+ Đối với chiến sĩ thực hiện nghĩa vụ CAND và công dân hoàn thành nghĩa vụ tham gia CAND, chiều cao áp dụng theo tiêu chuẩn chiều cao tuyển chọn công dân thực hiện nghĩa vụ tham gia CAND thời điểm tuyển chọn.</w:t>
      </w:r>
    </w:p>
    <w:p w:rsidR="00141CB6" w:rsidRDefault="00141CB6" w:rsidP="00141CB6">
      <w:pPr>
        <w:ind w:firstLine="709"/>
        <w:jc w:val="both"/>
      </w:pPr>
      <w:r>
        <w:t>+ Công dân thường trú trên địa bàn huyện chiều cao từ 1m64 đến 1m95 đối với nam, từ 1m58 đến 1m80 đối với nữ. Công dân là người dân tộc thiểu số, chiều cao từ 1m62 đến 1m95 đối với nam, từ 1m56 đến 1m80 đối với nữ; chỉ số khối cơ thể (BMI) được tính bằng trọng lượng cơ thể (kilogam) chia cho bình phương chiều cao (mét) đạt từ 18,5 đến 30; nếu mắt bị tật khúc xạ thì không quá 3 đi-ốp, kiểm tra thị lực qua kính đạt 10/10, tổng thị lực 2 mắt phải đạt 19/20 (phải cam kết chữa trị đảm bảo tiêu chuẩn thị lực trước khi nhập học nếu trúng tuyển).</w:t>
      </w:r>
    </w:p>
    <w:p w:rsidR="00141CB6" w:rsidRDefault="00141CB6" w:rsidP="00141CB6">
      <w:pPr>
        <w:ind w:firstLine="709"/>
        <w:jc w:val="both"/>
      </w:pPr>
      <w:r>
        <w:t>- Có khả năng giữ bình tĩnh, nhanh nhẹn, có trí nhớ tốt, tư duy lôgic và những phẩm chất khác theo yêu cầu của từng hệ lực lượng trong CAND.</w:t>
      </w:r>
    </w:p>
    <w:p w:rsidR="00141CB6" w:rsidRPr="009F3F24" w:rsidRDefault="00141CB6" w:rsidP="00141CB6">
      <w:pPr>
        <w:ind w:firstLine="709"/>
        <w:jc w:val="both"/>
        <w:rPr>
          <w:b/>
        </w:rPr>
      </w:pPr>
      <w:r w:rsidRPr="009F3F24">
        <w:rPr>
          <w:b/>
        </w:rPr>
        <w:t>3. Phương thức tuyển sinh</w:t>
      </w:r>
    </w:p>
    <w:p w:rsidR="00141CB6" w:rsidRDefault="00141CB6" w:rsidP="00141CB6">
      <w:pPr>
        <w:ind w:firstLine="709"/>
        <w:jc w:val="both"/>
      </w:pPr>
      <w:r>
        <w:t>- Phương thức 1: Xét tuyển thẳng, ưu tiên xét tuyển theo quy chế tuyển sinh hiện hành của Bộ Giáo dục và Đào tạo, quy định của Bộ Công an.</w:t>
      </w:r>
    </w:p>
    <w:p w:rsidR="00141CB6" w:rsidRDefault="00141CB6" w:rsidP="00141CB6">
      <w:pPr>
        <w:ind w:firstLine="709"/>
        <w:jc w:val="both"/>
      </w:pPr>
      <w:r>
        <w:t>- Phương thức 2: Xét tuyển thí sinh có chứng chỉ ngoại ngữ quốc tế (chứng chỉ IELTSAcademic hoặc chứng chỉ T</w:t>
      </w:r>
      <w:r w:rsidR="004D534B">
        <w:t>OF</w:t>
      </w:r>
      <w:r>
        <w:t>EL iBT hoặc chứng chỉ HSK…) đạt học lực loại giỏi trong 3 năm trung học phổ thông phù hợp với quy chế tuyển sinh của Bộ Giáo dục và Đào tạo, quy định của Bộ Công an.</w:t>
      </w:r>
    </w:p>
    <w:p w:rsidR="00141CB6" w:rsidRDefault="00141CB6" w:rsidP="00141CB6">
      <w:pPr>
        <w:ind w:firstLine="709"/>
        <w:jc w:val="both"/>
      </w:pPr>
      <w:r>
        <w:t>- Phương thức 3: Xét tuyển kết hợp kết quả trung học phổ thông, kết quả thi tốt nghiệp trunghọc phổ thông của Bộ Giáo dục và Đào tạo với bài thi đánh giá tuyển sinh của Bộ Công an.</w:t>
      </w:r>
    </w:p>
    <w:p w:rsidR="00141CB6" w:rsidRDefault="00141CB6" w:rsidP="00141CB6">
      <w:pPr>
        <w:ind w:firstLine="709"/>
        <w:jc w:val="both"/>
        <w:rPr>
          <w:b/>
        </w:rPr>
      </w:pPr>
      <w:r>
        <w:rPr>
          <w:b/>
        </w:rPr>
        <w:t xml:space="preserve">4. </w:t>
      </w:r>
      <w:r w:rsidR="006E749B">
        <w:rPr>
          <w:b/>
        </w:rPr>
        <w:t>Thời gian</w:t>
      </w:r>
      <w:r w:rsidR="0083579A">
        <w:rPr>
          <w:b/>
        </w:rPr>
        <w:t xml:space="preserve"> và địa điểm đăng ký</w:t>
      </w:r>
      <w:r>
        <w:rPr>
          <w:b/>
        </w:rPr>
        <w:t xml:space="preserve"> dự tuyển</w:t>
      </w:r>
    </w:p>
    <w:p w:rsidR="0083579A" w:rsidRPr="0083579A" w:rsidRDefault="0083579A" w:rsidP="0083579A">
      <w:pPr>
        <w:ind w:firstLine="709"/>
        <w:jc w:val="both"/>
      </w:pPr>
      <w:r w:rsidRPr="0083579A">
        <w:t>- Thời gian tiếp nhận đăng ký từ ngày ra thông báo này đến khi có văn bản hướng dẫn của Công an tỉnh về việc dừng tiếp nhận, đăng ký.</w:t>
      </w:r>
    </w:p>
    <w:p w:rsidR="00141CB6" w:rsidRPr="00B74641" w:rsidRDefault="000E62DE" w:rsidP="00141CB6">
      <w:pPr>
        <w:ind w:firstLine="709"/>
        <w:jc w:val="both"/>
        <w:rPr>
          <w:spacing w:val="-6"/>
        </w:rPr>
      </w:pPr>
      <w:r>
        <w:t>- Địa điểm đăng ký: Đ</w:t>
      </w:r>
      <w:r w:rsidR="00141CB6" w:rsidRPr="00B74641">
        <w:rPr>
          <w:spacing w:val="-6"/>
        </w:rPr>
        <w:t>ăng ký trực tiếp tại Đội Tổng hợp, Công an huyện An Lão</w:t>
      </w:r>
      <w:r>
        <w:rPr>
          <w:spacing w:val="-6"/>
        </w:rPr>
        <w:t xml:space="preserve"> vào các ngày làm việc trong tuần</w:t>
      </w:r>
      <w:r w:rsidR="00B76A3D">
        <w:rPr>
          <w:spacing w:val="-6"/>
        </w:rPr>
        <w:t>.</w:t>
      </w:r>
    </w:p>
    <w:p w:rsidR="0083579A" w:rsidRPr="0083579A" w:rsidRDefault="0083579A" w:rsidP="0083579A">
      <w:pPr>
        <w:ind w:firstLine="709"/>
        <w:jc w:val="both"/>
      </w:pPr>
      <w:r w:rsidRPr="000920D7">
        <w:rPr>
          <w:b/>
          <w:i/>
        </w:rPr>
        <w:t>Lưu ý:</w:t>
      </w:r>
      <w:r w:rsidRPr="0083579A">
        <w:t xml:space="preserve"> Khi đến đăng ký cần mang theo chứng minh nhân dân hoặc căn cước công dân và học bạ trung học phổ thông. Trường hợp do dịch bệnh kéo dài, không </w:t>
      </w:r>
      <w:r w:rsidRPr="0083579A">
        <w:lastRenderedPageBreak/>
        <w:t>đến trực tiếp thì liên hệ số điện thoại 0965.869.678 (gặp đ/c Lê Thanh Nghị) để được hướng dẫn.</w:t>
      </w:r>
    </w:p>
    <w:p w:rsidR="00141CB6" w:rsidRDefault="00141CB6" w:rsidP="00141CB6">
      <w:pPr>
        <w:ind w:firstLine="709"/>
        <w:jc w:val="both"/>
        <w:rPr>
          <w:b/>
        </w:rPr>
      </w:pPr>
      <w:r>
        <w:rPr>
          <w:b/>
        </w:rPr>
        <w:t>5. Tổ chức sơ tuyển</w:t>
      </w:r>
    </w:p>
    <w:p w:rsidR="00141CB6" w:rsidRDefault="00141CB6" w:rsidP="00141CB6">
      <w:pPr>
        <w:ind w:firstLine="709"/>
        <w:jc w:val="both"/>
      </w:pPr>
      <w:r>
        <w:t>- Kiểm tra thông tin cá nhân, học lực, hạnh kiểm tại học bạ, hướng dẫn viết lý lịch và thẩm tra lý lịch và kết luận tiêu chuẩn chính trị.</w:t>
      </w:r>
    </w:p>
    <w:p w:rsidR="00141CB6" w:rsidRDefault="00141CB6" w:rsidP="00141CB6">
      <w:pPr>
        <w:ind w:firstLine="709"/>
        <w:jc w:val="both"/>
      </w:pPr>
      <w:r>
        <w:t>- Kiểm tra tiêu chuẩn sức khỏe.</w:t>
      </w:r>
    </w:p>
    <w:p w:rsidR="00141CB6" w:rsidRPr="00487D62" w:rsidRDefault="00141CB6" w:rsidP="00141CB6">
      <w:pPr>
        <w:ind w:firstLine="709"/>
        <w:jc w:val="both"/>
      </w:pPr>
      <w:r>
        <w:t>- Kiểm tra khả năng vận động: Thí sinh đăng ký tự chọn 02 nội dung rèn luyện thể lực gồm: chạy 100m; chạy 1500m (đối với nam), chạy 800m (đối với nữ); bật xa tại chỗ; co tay xà đơn. Chỉ tính đạt hoặc không đạt. Tại thời điểm kiểm tra, nếu thí sinh vì lý do đau ốm, chữa bệnh không thể kiểm tra được thì sẽ tổ chức cho thí sinh được kiểm tra vào một buổi khác trước thời điểm gửi hồ sơ xét tuyển về các học viện, trường đại học CAND.</w:t>
      </w:r>
    </w:p>
    <w:p w:rsidR="00141CB6" w:rsidRDefault="00141CB6" w:rsidP="00141CB6">
      <w:pPr>
        <w:ind w:firstLine="709"/>
        <w:jc w:val="both"/>
        <w:rPr>
          <w:b/>
        </w:rPr>
      </w:pPr>
      <w:r>
        <w:rPr>
          <w:b/>
        </w:rPr>
        <w:t>6. Bài thi đánh giá tuyển sinh của Bộ Công an</w:t>
      </w:r>
    </w:p>
    <w:p w:rsidR="00141CB6" w:rsidRDefault="00141CB6" w:rsidP="00141CB6">
      <w:pPr>
        <w:ind w:firstLine="709"/>
        <w:jc w:val="both"/>
      </w:pPr>
      <w:r>
        <w:t>- Cấu trúc bài thi gồm 02 phần: Phần trắc nghiệm và phần tự luận.</w:t>
      </w:r>
    </w:p>
    <w:p w:rsidR="00141CB6" w:rsidRDefault="00141CB6" w:rsidP="00141CB6">
      <w:pPr>
        <w:ind w:firstLine="709"/>
        <w:jc w:val="both"/>
      </w:pPr>
      <w:r>
        <w:t>+ Phần trắc nghiệm bao gồm: kiến thức về khoa học tự nhiên, kiến thức xã hội, ngoại ngữ phù hợp với tổ hợp đăng ký xét tuyển vào các học viện, trường đại học CAND; tập trung kiểm tra kiến thức trong chương trình trung học phổ thông hiện hành, độ khó cao h</w:t>
      </w:r>
      <w:r w:rsidR="0075131F">
        <w:t>ơ</w:t>
      </w:r>
      <w:r>
        <w:t xml:space="preserve">n </w:t>
      </w:r>
      <w:r w:rsidR="0075131F">
        <w:t xml:space="preserve">so </w:t>
      </w:r>
      <w:r>
        <w:t>với đề thi tốt nghiệp trung học phổ thông…</w:t>
      </w:r>
    </w:p>
    <w:p w:rsidR="00141CB6" w:rsidRDefault="00141CB6" w:rsidP="00141CB6">
      <w:pPr>
        <w:ind w:firstLine="709"/>
        <w:jc w:val="both"/>
      </w:pPr>
      <w:r>
        <w:t>+ Phần thi tự luận: thí sinh được lựa chọn một trong hai nội dung: Văn học, nghị luận xã hội và giải toán.</w:t>
      </w:r>
    </w:p>
    <w:p w:rsidR="00141CB6" w:rsidRDefault="00141CB6" w:rsidP="00141CB6">
      <w:pPr>
        <w:ind w:firstLine="709"/>
        <w:jc w:val="both"/>
      </w:pPr>
      <w:r>
        <w:t xml:space="preserve"> - Tổng thời gian làm bài là 180 phút, trong đó phần thi trắc nghiệm 90 phút, tự luận 90 phút.</w:t>
      </w:r>
    </w:p>
    <w:p w:rsidR="00141CB6" w:rsidRDefault="00141CB6" w:rsidP="00141CB6">
      <w:pPr>
        <w:ind w:firstLine="709"/>
        <w:jc w:val="both"/>
      </w:pPr>
      <w:r>
        <w:t>- Đề thi do các trường CAND xây dựng và công bố công khai đề thi minh họa theo quy định của Bộ Giáo dục và Đào tạo.</w:t>
      </w:r>
    </w:p>
    <w:p w:rsidR="00141CB6" w:rsidRPr="005E2943" w:rsidRDefault="00141CB6" w:rsidP="00141CB6">
      <w:pPr>
        <w:ind w:firstLine="709"/>
        <w:jc w:val="both"/>
        <w:rPr>
          <w:spacing w:val="-8"/>
        </w:rPr>
      </w:pPr>
      <w:r w:rsidRPr="005E2943">
        <w:rPr>
          <w:spacing w:val="-8"/>
        </w:rPr>
        <w:t>- Thời gian tổ chức: Được tổ chức sau kỳ thi tốt nghiệp trung học phổ thông 10 ngày.</w:t>
      </w:r>
    </w:p>
    <w:p w:rsidR="00141CB6" w:rsidRDefault="00141CB6" w:rsidP="00141CB6">
      <w:pPr>
        <w:ind w:firstLine="709"/>
        <w:jc w:val="both"/>
        <w:rPr>
          <w:b/>
        </w:rPr>
      </w:pPr>
      <w:r>
        <w:rPr>
          <w:b/>
        </w:rPr>
        <w:t>7. Công bố điểm thi, tiếp nhận đơn phúc khảo, chấm phúc khảo, công bố điểm phúc khảo</w:t>
      </w:r>
    </w:p>
    <w:p w:rsidR="00141CB6" w:rsidRDefault="00141CB6" w:rsidP="00141CB6">
      <w:pPr>
        <w:ind w:firstLine="709"/>
        <w:jc w:val="both"/>
      </w:pPr>
      <w:r>
        <w:t>- Trong thời hạn 07 ngày kể từ ngày công bố kết quả điểm thi, kết quả xét chọn, các học viện, trường CAND tiếp nhận đơn xin phúc khảo bài thi hoặc phúc khảo kết quả xét chọn của thí sinh (nếu có).</w:t>
      </w:r>
    </w:p>
    <w:p w:rsidR="00141CB6" w:rsidRDefault="00141CB6" w:rsidP="00141CB6">
      <w:pPr>
        <w:ind w:firstLine="709"/>
        <w:jc w:val="both"/>
      </w:pPr>
      <w:r>
        <w:t>- Trong thời hạn 10 ngày kể từ ngày hết hạn nhận đơn phúc khảo, Hội đồng tuyển sinh tổ chức phúc khảo, công bố và gửi kết quả phúc khảo cho thí sinh.</w:t>
      </w:r>
    </w:p>
    <w:p w:rsidR="00141CB6" w:rsidRPr="002B5FF3" w:rsidRDefault="00141CB6" w:rsidP="00141CB6">
      <w:pPr>
        <w:ind w:firstLine="709"/>
        <w:jc w:val="both"/>
        <w:rPr>
          <w:b/>
        </w:rPr>
      </w:pPr>
      <w:r>
        <w:rPr>
          <w:b/>
        </w:rPr>
        <w:t>8. Tổ chức xét tuyển</w:t>
      </w:r>
    </w:p>
    <w:p w:rsidR="00141CB6" w:rsidRPr="008263D7" w:rsidRDefault="00141CB6" w:rsidP="00141CB6">
      <w:pPr>
        <w:ind w:firstLine="709"/>
        <w:jc w:val="both"/>
        <w:rPr>
          <w:i/>
        </w:rPr>
      </w:pPr>
      <w:r w:rsidRPr="008263D7">
        <w:rPr>
          <w:i/>
        </w:rPr>
        <w:lastRenderedPageBreak/>
        <w:t>8.1. Trường hợp Bộ Giáo dục và Đào tạo tiếp tục chủ trì tổ chức kỳ thi tốt nghiệp trung học phổ thông về đề thi, thời gian thi, điểm xét tuyển được sử dụng từ các nguồn sau:</w:t>
      </w:r>
    </w:p>
    <w:p w:rsidR="00141CB6" w:rsidRDefault="00141CB6" w:rsidP="00141CB6">
      <w:pPr>
        <w:ind w:firstLine="709"/>
        <w:jc w:val="both"/>
      </w:pPr>
      <w:r>
        <w:t>- Kết quả thi tốt nghiệp trung học phổ thông của Bộ Giáo dục và Đào tạo chiếm 40% tổng điểm xét tuyển;</w:t>
      </w:r>
    </w:p>
    <w:p w:rsidR="00141CB6" w:rsidRDefault="00141CB6" w:rsidP="00141CB6">
      <w:pPr>
        <w:ind w:firstLine="709"/>
        <w:jc w:val="both"/>
      </w:pPr>
      <w:r>
        <w:t>- Kết quả bài thi đánh giá do học viện, trường đại học CAND tổ chức chiếm 60% tổng điểm xét tuyển.</w:t>
      </w:r>
    </w:p>
    <w:p w:rsidR="00141CB6" w:rsidRDefault="00141CB6" w:rsidP="00141CB6">
      <w:pPr>
        <w:ind w:firstLine="709"/>
        <w:jc w:val="both"/>
      </w:pPr>
      <w:r>
        <w:t>Điểm trên được quy về thang điểm theo quy định của Bộ Giáo dục và Đào tạo, cộng với điểm ưu tiên về khu vực, đối tượng theo quy định của Bộ Giáo dục và Đào tạo, quy định của Bộ Công an.</w:t>
      </w:r>
    </w:p>
    <w:p w:rsidR="00141CB6" w:rsidRPr="008263D7" w:rsidRDefault="00141CB6" w:rsidP="00141CB6">
      <w:pPr>
        <w:ind w:firstLine="709"/>
        <w:jc w:val="both"/>
        <w:rPr>
          <w:i/>
        </w:rPr>
      </w:pPr>
      <w:r w:rsidRPr="008263D7">
        <w:rPr>
          <w:i/>
        </w:rPr>
        <w:t>8.2. Trường hợp do dịch bệnh, không tổ chức kỳ thi của Bộ Công an thì điểm xét tuyển được thực hiện như năm 2021, cụ thể:</w:t>
      </w:r>
    </w:p>
    <w:p w:rsidR="00141CB6" w:rsidRDefault="00141CB6" w:rsidP="00141CB6">
      <w:pPr>
        <w:ind w:firstLine="709"/>
        <w:jc w:val="both"/>
      </w:pPr>
      <w:r>
        <w:t>- Điểm học bạ trung học phổ thông chiếm 25% tổng điểm xét tuyển.</w:t>
      </w:r>
    </w:p>
    <w:p w:rsidR="00141CB6" w:rsidRDefault="00141CB6" w:rsidP="00141CB6">
      <w:pPr>
        <w:ind w:firstLine="709"/>
        <w:jc w:val="both"/>
      </w:pPr>
      <w:r>
        <w:t>- Kết quả thi tốt nghiệp trung học phổ thông của Bộ Giáo dục và Đào tạo chiếm 75% tổng điểm xét tuyển.</w:t>
      </w:r>
    </w:p>
    <w:p w:rsidR="00141CB6" w:rsidRPr="00366DAE" w:rsidRDefault="00141CB6" w:rsidP="00141CB6">
      <w:pPr>
        <w:ind w:firstLine="709"/>
        <w:jc w:val="both"/>
      </w:pPr>
      <w:r w:rsidRPr="00366DAE">
        <w:t>Điểm trên được quy về thang điểm theo quy định của Bộ Giáo dục và Đào tạo, cộng với điểm ưu tiên về khu vực, đối tượng theo quy định của Bộ Giáo dục và Đào tạo, quy định của Bộ Công an.</w:t>
      </w:r>
    </w:p>
    <w:p w:rsidR="00141CB6" w:rsidRPr="008263D7" w:rsidRDefault="00141CB6" w:rsidP="00141CB6">
      <w:pPr>
        <w:ind w:firstLine="709"/>
        <w:jc w:val="both"/>
        <w:rPr>
          <w:i/>
        </w:rPr>
      </w:pPr>
      <w:r w:rsidRPr="008263D7">
        <w:rPr>
          <w:i/>
        </w:rPr>
        <w:t>8.3. Trường hợp do dịch bệnh, không tổ chức kỳ thi tốt nghiệp trung học phổ thông của Bộ Giáo dục và Đào tạo, không tổ chức kỳ thi của Bộ Công an.</w:t>
      </w:r>
    </w:p>
    <w:p w:rsidR="00141CB6" w:rsidRDefault="00141CB6" w:rsidP="00141CB6">
      <w:pPr>
        <w:ind w:firstLine="709"/>
        <w:jc w:val="both"/>
      </w:pPr>
      <w:r>
        <w:t>Sử dụng kết quả học bạ trung học phổ thông làm điểm xét tuyển tương tự như xét tuyển các thí sinh được đặc cách tốt nghiệp do ảnh hưởng của dịch bệnh xét tuyển năm 2021.</w:t>
      </w:r>
    </w:p>
    <w:p w:rsidR="00141CB6" w:rsidRPr="00A14D64" w:rsidRDefault="00141CB6" w:rsidP="00141CB6">
      <w:pPr>
        <w:ind w:firstLine="709"/>
        <w:jc w:val="both"/>
        <w:rPr>
          <w:b/>
        </w:rPr>
      </w:pPr>
      <w:r w:rsidRPr="00A14D64">
        <w:rPr>
          <w:b/>
        </w:rPr>
        <w:t>9. Mức thu dịch vụ tuyển sinh</w:t>
      </w:r>
    </w:p>
    <w:p w:rsidR="00657306" w:rsidRDefault="00141CB6" w:rsidP="00141CB6">
      <w:pPr>
        <w:ind w:firstLine="709"/>
        <w:jc w:val="both"/>
      </w:pPr>
      <w:r>
        <w:t>Mức thu 300.000 đồng/thí sinh, trong đó: Mức th</w:t>
      </w:r>
      <w:r w:rsidR="006D1B4C">
        <w:t>u</w:t>
      </w:r>
      <w:r>
        <w:t xml:space="preserve"> 120.000đ phục vụ cho công tác sơ tuyển</w:t>
      </w:r>
      <w:r w:rsidR="00657306">
        <w:rPr>
          <w:i/>
        </w:rPr>
        <w:t>(không bao</w:t>
      </w:r>
      <w:r w:rsidR="00657306" w:rsidRPr="00657306">
        <w:rPr>
          <w:i/>
        </w:rPr>
        <w:t>gồm chi phí khám sức khỏe</w:t>
      </w:r>
      <w:r w:rsidR="00657306">
        <w:rPr>
          <w:i/>
        </w:rPr>
        <w:t>)</w:t>
      </w:r>
      <w:r>
        <w:t>, 180.000đ cho công tác tổ chức thi. Nộp tại Công an huyện.</w:t>
      </w:r>
    </w:p>
    <w:p w:rsidR="00141CB6" w:rsidRDefault="00141CB6" w:rsidP="004C1141">
      <w:pPr>
        <w:ind w:firstLine="709"/>
        <w:jc w:val="both"/>
      </w:pPr>
      <w:r>
        <w:t>Mọi vấn đề cần trao đổi, liên hệ số điện thoại 02563.875.</w:t>
      </w:r>
      <w:r w:rsidR="0034765A">
        <w:t>52</w:t>
      </w:r>
      <w:r>
        <w:t xml:space="preserve">6 </w:t>
      </w:r>
      <w:r w:rsidR="0034765A">
        <w:rPr>
          <w:i/>
        </w:rPr>
        <w:t xml:space="preserve">(gặp đ/c Lê Thanh Nghị- Đội Tổng hợp) </w:t>
      </w:r>
      <w:r>
        <w:t xml:space="preserve">để </w:t>
      </w:r>
      <w:r w:rsidR="0034765A">
        <w:t>hướng dẫn thực hiện</w:t>
      </w:r>
      <w:r>
        <w:t>./.</w:t>
      </w:r>
      <w:bookmarkStart w:id="0" w:name="_GoBack"/>
      <w:bookmarkEnd w:id="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141CB6" w:rsidRPr="00FB5250" w:rsidTr="00F23F5C">
        <w:tc>
          <w:tcPr>
            <w:tcW w:w="2500" w:type="pct"/>
          </w:tcPr>
          <w:p w:rsidR="00141CB6" w:rsidRPr="00FB5250" w:rsidRDefault="00141CB6" w:rsidP="00141CB6">
            <w:pPr>
              <w:spacing w:after="0" w:line="240" w:lineRule="auto"/>
              <w:rPr>
                <w:b/>
                <w:i/>
                <w:sz w:val="24"/>
              </w:rPr>
            </w:pPr>
            <w:r w:rsidRPr="00FB5250">
              <w:rPr>
                <w:b/>
                <w:i/>
                <w:sz w:val="24"/>
              </w:rPr>
              <w:t>Nơi nhận:</w:t>
            </w:r>
          </w:p>
          <w:p w:rsidR="008263D7" w:rsidRDefault="008263D7" w:rsidP="00141CB6">
            <w:pPr>
              <w:spacing w:after="0" w:line="240" w:lineRule="auto"/>
              <w:rPr>
                <w:sz w:val="22"/>
              </w:rPr>
            </w:pPr>
            <w:r>
              <w:rPr>
                <w:sz w:val="22"/>
              </w:rPr>
              <w:t>- Phòng PX01 - CAT (báo cáo);</w:t>
            </w:r>
          </w:p>
          <w:p w:rsidR="008263D7" w:rsidRDefault="008263D7" w:rsidP="00141CB6">
            <w:pPr>
              <w:spacing w:after="0" w:line="240" w:lineRule="auto"/>
              <w:rPr>
                <w:sz w:val="22"/>
              </w:rPr>
            </w:pPr>
            <w:r>
              <w:rPr>
                <w:sz w:val="22"/>
              </w:rPr>
              <w:t>- Trưởng CAH (báo cáo)</w:t>
            </w:r>
            <w:r w:rsidR="007523EA">
              <w:rPr>
                <w:sz w:val="22"/>
              </w:rPr>
              <w:t>;</w:t>
            </w:r>
          </w:p>
          <w:p w:rsidR="006E18EA" w:rsidRPr="00FB5250" w:rsidRDefault="006E18EA" w:rsidP="00141CB6">
            <w:pPr>
              <w:spacing w:after="0" w:line="240" w:lineRule="auto"/>
              <w:rPr>
                <w:sz w:val="22"/>
              </w:rPr>
            </w:pPr>
            <w:r>
              <w:rPr>
                <w:sz w:val="22"/>
              </w:rPr>
              <w:t>- UBND các xã, thị trấn;</w:t>
            </w:r>
          </w:p>
          <w:p w:rsidR="008263D7" w:rsidRDefault="008263D7" w:rsidP="008263D7">
            <w:pPr>
              <w:spacing w:after="0" w:line="240" w:lineRule="auto"/>
              <w:rPr>
                <w:sz w:val="22"/>
              </w:rPr>
            </w:pPr>
            <w:r>
              <w:rPr>
                <w:sz w:val="22"/>
              </w:rPr>
              <w:t xml:space="preserve">- </w:t>
            </w:r>
            <w:r w:rsidR="00130F63">
              <w:rPr>
                <w:sz w:val="22"/>
              </w:rPr>
              <w:t>Trường THPT An Lão;</w:t>
            </w:r>
          </w:p>
          <w:p w:rsidR="00130F63" w:rsidRDefault="00130F63" w:rsidP="008263D7">
            <w:pPr>
              <w:spacing w:after="0" w:line="240" w:lineRule="auto"/>
              <w:rPr>
                <w:sz w:val="22"/>
              </w:rPr>
            </w:pPr>
            <w:r>
              <w:rPr>
                <w:sz w:val="22"/>
              </w:rPr>
              <w:t>- Trường PTDTNT - THCS &amp; THPT An Lão;</w:t>
            </w:r>
          </w:p>
          <w:p w:rsidR="007523EA" w:rsidRDefault="007523EA" w:rsidP="008263D7">
            <w:pPr>
              <w:spacing w:after="0" w:line="240" w:lineRule="auto"/>
              <w:rPr>
                <w:sz w:val="22"/>
              </w:rPr>
            </w:pPr>
            <w:r>
              <w:rPr>
                <w:sz w:val="22"/>
              </w:rPr>
              <w:t>- Đội CSTHAHS-HTTP;</w:t>
            </w:r>
          </w:p>
          <w:p w:rsidR="007523EA" w:rsidRPr="008263D7" w:rsidRDefault="007523EA" w:rsidP="008263D7">
            <w:pPr>
              <w:spacing w:after="0" w:line="240" w:lineRule="auto"/>
              <w:rPr>
                <w:sz w:val="22"/>
              </w:rPr>
            </w:pPr>
            <w:r>
              <w:rPr>
                <w:sz w:val="22"/>
              </w:rPr>
              <w:t xml:space="preserve">- </w:t>
            </w:r>
            <w:r w:rsidR="006E18EA">
              <w:rPr>
                <w:sz w:val="22"/>
              </w:rPr>
              <w:t>CA</w:t>
            </w:r>
            <w:r>
              <w:rPr>
                <w:sz w:val="22"/>
              </w:rPr>
              <w:t xml:space="preserve"> các xã, thị trấn;</w:t>
            </w:r>
          </w:p>
          <w:p w:rsidR="00141CB6" w:rsidRPr="00FB5250" w:rsidRDefault="008263D7" w:rsidP="00141CB6">
            <w:pPr>
              <w:spacing w:after="0" w:line="240" w:lineRule="auto"/>
              <w:rPr>
                <w:sz w:val="22"/>
              </w:rPr>
            </w:pPr>
            <w:r>
              <w:rPr>
                <w:sz w:val="22"/>
              </w:rPr>
              <w:t>- Lưu VT, TH.</w:t>
            </w:r>
          </w:p>
        </w:tc>
        <w:tc>
          <w:tcPr>
            <w:tcW w:w="2500" w:type="pct"/>
          </w:tcPr>
          <w:p w:rsidR="00141CB6" w:rsidRPr="00FB5250" w:rsidRDefault="008263D7" w:rsidP="00141CB6">
            <w:pPr>
              <w:spacing w:after="0" w:line="240" w:lineRule="auto"/>
              <w:jc w:val="center"/>
              <w:rPr>
                <w:b/>
                <w:szCs w:val="28"/>
              </w:rPr>
            </w:pPr>
            <w:r>
              <w:rPr>
                <w:b/>
                <w:szCs w:val="28"/>
              </w:rPr>
              <w:t>KT.</w:t>
            </w:r>
            <w:r w:rsidR="00141CB6" w:rsidRPr="00FB5250">
              <w:rPr>
                <w:b/>
                <w:szCs w:val="28"/>
              </w:rPr>
              <w:t>TRƯỞNG CÔNG AN HUYỆN</w:t>
            </w:r>
          </w:p>
          <w:p w:rsidR="00141CB6" w:rsidRDefault="008263D7" w:rsidP="00141CB6">
            <w:pPr>
              <w:spacing w:after="0" w:line="240" w:lineRule="auto"/>
              <w:jc w:val="center"/>
              <w:rPr>
                <w:b/>
              </w:rPr>
            </w:pPr>
            <w:r>
              <w:rPr>
                <w:b/>
              </w:rPr>
              <w:t>PHÓ TRƯỞNG CÔNG AN HUYỆN</w:t>
            </w:r>
          </w:p>
          <w:p w:rsidR="008263D7" w:rsidRDefault="008263D7" w:rsidP="00141CB6">
            <w:pPr>
              <w:spacing w:after="0" w:line="240" w:lineRule="auto"/>
              <w:jc w:val="center"/>
              <w:rPr>
                <w:b/>
              </w:rPr>
            </w:pPr>
          </w:p>
          <w:p w:rsidR="008263D7" w:rsidRDefault="008263D7" w:rsidP="00141CB6">
            <w:pPr>
              <w:spacing w:after="0" w:line="240" w:lineRule="auto"/>
              <w:jc w:val="center"/>
              <w:rPr>
                <w:b/>
              </w:rPr>
            </w:pPr>
          </w:p>
          <w:p w:rsidR="008263D7" w:rsidRDefault="008263D7" w:rsidP="00141CB6">
            <w:pPr>
              <w:spacing w:after="0" w:line="240" w:lineRule="auto"/>
              <w:jc w:val="center"/>
              <w:rPr>
                <w:b/>
              </w:rPr>
            </w:pPr>
          </w:p>
          <w:p w:rsidR="008263D7" w:rsidRDefault="008263D7" w:rsidP="00141CB6">
            <w:pPr>
              <w:spacing w:after="0" w:line="240" w:lineRule="auto"/>
              <w:jc w:val="center"/>
              <w:rPr>
                <w:b/>
              </w:rPr>
            </w:pPr>
          </w:p>
          <w:p w:rsidR="0034765A" w:rsidRDefault="0034765A" w:rsidP="00141CB6">
            <w:pPr>
              <w:spacing w:after="0" w:line="240" w:lineRule="auto"/>
              <w:jc w:val="center"/>
              <w:rPr>
                <w:b/>
              </w:rPr>
            </w:pPr>
          </w:p>
          <w:p w:rsidR="008263D7" w:rsidRPr="00FB5250" w:rsidRDefault="008263D7" w:rsidP="00141CB6">
            <w:pPr>
              <w:spacing w:after="0" w:line="240" w:lineRule="auto"/>
              <w:jc w:val="center"/>
              <w:rPr>
                <w:b/>
              </w:rPr>
            </w:pPr>
            <w:r>
              <w:rPr>
                <w:b/>
              </w:rPr>
              <w:t>Trung tá Nguyễn Anh Tuấn</w:t>
            </w:r>
          </w:p>
        </w:tc>
      </w:tr>
    </w:tbl>
    <w:p w:rsidR="00141CB6" w:rsidRPr="00415484" w:rsidRDefault="00141CB6" w:rsidP="00141CB6">
      <w:pPr>
        <w:ind w:firstLine="709"/>
        <w:jc w:val="both"/>
      </w:pPr>
    </w:p>
    <w:p w:rsidR="00B33EE3" w:rsidRDefault="00B33EE3"/>
    <w:sectPr w:rsidR="00B33EE3" w:rsidSect="000920D7">
      <w:headerReference w:type="default" r:id="rId6"/>
      <w:pgSz w:w="11907" w:h="16840" w:code="9"/>
      <w:pgMar w:top="851" w:right="851" w:bottom="851" w:left="1418" w:header="709" w:footer="709"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C4B" w:rsidRDefault="001B1C4B" w:rsidP="00E40056">
      <w:pPr>
        <w:spacing w:after="0" w:line="240" w:lineRule="auto"/>
      </w:pPr>
      <w:r>
        <w:separator/>
      </w:r>
    </w:p>
  </w:endnote>
  <w:endnote w:type="continuationSeparator" w:id="1">
    <w:p w:rsidR="001B1C4B" w:rsidRDefault="001B1C4B" w:rsidP="00E400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C4B" w:rsidRDefault="001B1C4B" w:rsidP="00E40056">
      <w:pPr>
        <w:spacing w:after="0" w:line="240" w:lineRule="auto"/>
      </w:pPr>
      <w:r>
        <w:separator/>
      </w:r>
    </w:p>
  </w:footnote>
  <w:footnote w:type="continuationSeparator" w:id="1">
    <w:p w:rsidR="001B1C4B" w:rsidRDefault="001B1C4B" w:rsidP="00E400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05016"/>
      <w:docPartObj>
        <w:docPartGallery w:val="Page Numbers (Top of Page)"/>
        <w:docPartUnique/>
      </w:docPartObj>
    </w:sdtPr>
    <w:sdtContent>
      <w:p w:rsidR="00E40056" w:rsidRDefault="00DE7D16" w:rsidP="007612F6">
        <w:pPr>
          <w:pStyle w:val="Header"/>
          <w:spacing w:after="120"/>
          <w:jc w:val="center"/>
        </w:pPr>
        <w:r>
          <w:fldChar w:fldCharType="begin"/>
        </w:r>
        <w:r w:rsidR="005C3798">
          <w:instrText xml:space="preserve"> PAGE   \* MERGEFORMAT </w:instrText>
        </w:r>
        <w:r>
          <w:fldChar w:fldCharType="separate"/>
        </w:r>
        <w:r w:rsidR="00E84610">
          <w:rPr>
            <w:noProof/>
          </w:rPr>
          <w:t>5</w:t>
        </w:r>
        <w:r>
          <w:rPr>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41CB6"/>
    <w:rsid w:val="00004039"/>
    <w:rsid w:val="00011FDB"/>
    <w:rsid w:val="00043A0F"/>
    <w:rsid w:val="00086DCE"/>
    <w:rsid w:val="000920D7"/>
    <w:rsid w:val="00095023"/>
    <w:rsid w:val="000958A2"/>
    <w:rsid w:val="000A06DA"/>
    <w:rsid w:val="000A778B"/>
    <w:rsid w:val="000B0041"/>
    <w:rsid w:val="000B7DEF"/>
    <w:rsid w:val="000E62DE"/>
    <w:rsid w:val="000E7DCF"/>
    <w:rsid w:val="000F4A79"/>
    <w:rsid w:val="00106D85"/>
    <w:rsid w:val="00116CC2"/>
    <w:rsid w:val="00130F63"/>
    <w:rsid w:val="00135E9B"/>
    <w:rsid w:val="00137CD1"/>
    <w:rsid w:val="00141CB6"/>
    <w:rsid w:val="0014455F"/>
    <w:rsid w:val="00162A7A"/>
    <w:rsid w:val="00165E0E"/>
    <w:rsid w:val="00172988"/>
    <w:rsid w:val="001755F0"/>
    <w:rsid w:val="001A5A95"/>
    <w:rsid w:val="001B1C4B"/>
    <w:rsid w:val="001B7F1F"/>
    <w:rsid w:val="001C7349"/>
    <w:rsid w:val="00201983"/>
    <w:rsid w:val="00263224"/>
    <w:rsid w:val="00275DED"/>
    <w:rsid w:val="00283144"/>
    <w:rsid w:val="0028483F"/>
    <w:rsid w:val="002A6FFC"/>
    <w:rsid w:val="002D5641"/>
    <w:rsid w:val="002E1129"/>
    <w:rsid w:val="002E1F9A"/>
    <w:rsid w:val="002E5806"/>
    <w:rsid w:val="002F65A6"/>
    <w:rsid w:val="003102ED"/>
    <w:rsid w:val="0033680F"/>
    <w:rsid w:val="00337C78"/>
    <w:rsid w:val="0034765A"/>
    <w:rsid w:val="003628A4"/>
    <w:rsid w:val="003642B2"/>
    <w:rsid w:val="003768A4"/>
    <w:rsid w:val="003A4D2F"/>
    <w:rsid w:val="003B31FA"/>
    <w:rsid w:val="003C3458"/>
    <w:rsid w:val="003D47F8"/>
    <w:rsid w:val="003E03C4"/>
    <w:rsid w:val="003F6D40"/>
    <w:rsid w:val="00401F4F"/>
    <w:rsid w:val="00414BDF"/>
    <w:rsid w:val="00420886"/>
    <w:rsid w:val="004411FC"/>
    <w:rsid w:val="004600F0"/>
    <w:rsid w:val="00461B5E"/>
    <w:rsid w:val="00483766"/>
    <w:rsid w:val="004C1141"/>
    <w:rsid w:val="004C6411"/>
    <w:rsid w:val="004D1963"/>
    <w:rsid w:val="004D534B"/>
    <w:rsid w:val="004F4500"/>
    <w:rsid w:val="004F4E1E"/>
    <w:rsid w:val="00504F12"/>
    <w:rsid w:val="005206EC"/>
    <w:rsid w:val="00555D63"/>
    <w:rsid w:val="00557754"/>
    <w:rsid w:val="00573D7F"/>
    <w:rsid w:val="00585BE9"/>
    <w:rsid w:val="005A646D"/>
    <w:rsid w:val="005B27A1"/>
    <w:rsid w:val="005B61BA"/>
    <w:rsid w:val="005C116B"/>
    <w:rsid w:val="005C3798"/>
    <w:rsid w:val="005F322A"/>
    <w:rsid w:val="00603B41"/>
    <w:rsid w:val="0061249E"/>
    <w:rsid w:val="006178B9"/>
    <w:rsid w:val="006208EE"/>
    <w:rsid w:val="006267A7"/>
    <w:rsid w:val="006443E3"/>
    <w:rsid w:val="00646C98"/>
    <w:rsid w:val="00657306"/>
    <w:rsid w:val="00665395"/>
    <w:rsid w:val="0067113A"/>
    <w:rsid w:val="00682289"/>
    <w:rsid w:val="00682E5F"/>
    <w:rsid w:val="006A2035"/>
    <w:rsid w:val="006B0675"/>
    <w:rsid w:val="006D1B4C"/>
    <w:rsid w:val="006E18EA"/>
    <w:rsid w:val="006E749B"/>
    <w:rsid w:val="007015DE"/>
    <w:rsid w:val="007222F5"/>
    <w:rsid w:val="0075131F"/>
    <w:rsid w:val="007523EA"/>
    <w:rsid w:val="007612F6"/>
    <w:rsid w:val="00766656"/>
    <w:rsid w:val="00785136"/>
    <w:rsid w:val="007A53FB"/>
    <w:rsid w:val="007D0596"/>
    <w:rsid w:val="007F290B"/>
    <w:rsid w:val="00815336"/>
    <w:rsid w:val="008263D7"/>
    <w:rsid w:val="0083579A"/>
    <w:rsid w:val="00844CF0"/>
    <w:rsid w:val="00864D96"/>
    <w:rsid w:val="008840B2"/>
    <w:rsid w:val="00891FDC"/>
    <w:rsid w:val="0089391B"/>
    <w:rsid w:val="008A50F1"/>
    <w:rsid w:val="008B74A7"/>
    <w:rsid w:val="008C4BD0"/>
    <w:rsid w:val="008C79CD"/>
    <w:rsid w:val="008E719C"/>
    <w:rsid w:val="008F03B9"/>
    <w:rsid w:val="009070D2"/>
    <w:rsid w:val="00907FB2"/>
    <w:rsid w:val="00971815"/>
    <w:rsid w:val="00972E61"/>
    <w:rsid w:val="00975BA7"/>
    <w:rsid w:val="009817E9"/>
    <w:rsid w:val="009A75BC"/>
    <w:rsid w:val="009B589E"/>
    <w:rsid w:val="009C698D"/>
    <w:rsid w:val="009D299A"/>
    <w:rsid w:val="009E4DB6"/>
    <w:rsid w:val="00A20E68"/>
    <w:rsid w:val="00A23185"/>
    <w:rsid w:val="00A30EB2"/>
    <w:rsid w:val="00A462DE"/>
    <w:rsid w:val="00A628DD"/>
    <w:rsid w:val="00A73941"/>
    <w:rsid w:val="00AC43D4"/>
    <w:rsid w:val="00AC4BE4"/>
    <w:rsid w:val="00AD4D35"/>
    <w:rsid w:val="00B035BA"/>
    <w:rsid w:val="00B05ED7"/>
    <w:rsid w:val="00B15E35"/>
    <w:rsid w:val="00B3041B"/>
    <w:rsid w:val="00B33EE3"/>
    <w:rsid w:val="00B56819"/>
    <w:rsid w:val="00B61AD6"/>
    <w:rsid w:val="00B62F55"/>
    <w:rsid w:val="00B70963"/>
    <w:rsid w:val="00B7157A"/>
    <w:rsid w:val="00B74641"/>
    <w:rsid w:val="00B76A3D"/>
    <w:rsid w:val="00B80E1C"/>
    <w:rsid w:val="00B8505A"/>
    <w:rsid w:val="00B86DF4"/>
    <w:rsid w:val="00C1524F"/>
    <w:rsid w:val="00C249CC"/>
    <w:rsid w:val="00C43ED5"/>
    <w:rsid w:val="00C4479C"/>
    <w:rsid w:val="00C54754"/>
    <w:rsid w:val="00C93E20"/>
    <w:rsid w:val="00C95575"/>
    <w:rsid w:val="00CB6D5D"/>
    <w:rsid w:val="00CC2A87"/>
    <w:rsid w:val="00CD782B"/>
    <w:rsid w:val="00CF0194"/>
    <w:rsid w:val="00D726D4"/>
    <w:rsid w:val="00DA2F07"/>
    <w:rsid w:val="00DB3D52"/>
    <w:rsid w:val="00DC1014"/>
    <w:rsid w:val="00DE20DB"/>
    <w:rsid w:val="00DE2AFD"/>
    <w:rsid w:val="00DE5EAC"/>
    <w:rsid w:val="00DE756B"/>
    <w:rsid w:val="00DE7D16"/>
    <w:rsid w:val="00DF1DDA"/>
    <w:rsid w:val="00E06B58"/>
    <w:rsid w:val="00E0707B"/>
    <w:rsid w:val="00E40056"/>
    <w:rsid w:val="00E552FC"/>
    <w:rsid w:val="00E74BE1"/>
    <w:rsid w:val="00E76C31"/>
    <w:rsid w:val="00E836FF"/>
    <w:rsid w:val="00E84610"/>
    <w:rsid w:val="00E91518"/>
    <w:rsid w:val="00E9239E"/>
    <w:rsid w:val="00EE6F6D"/>
    <w:rsid w:val="00F13392"/>
    <w:rsid w:val="00F4103D"/>
    <w:rsid w:val="00F634CA"/>
    <w:rsid w:val="00F77324"/>
    <w:rsid w:val="00F8380E"/>
    <w:rsid w:val="00F93A52"/>
    <w:rsid w:val="00FA2EA3"/>
    <w:rsid w:val="00FA4712"/>
    <w:rsid w:val="00FB7A2E"/>
    <w:rsid w:val="00FD00A2"/>
    <w:rsid w:val="00FE18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CB6"/>
    <w:pPr>
      <w:spacing w:after="160" w:line="259" w:lineRule="auto"/>
    </w:pPr>
    <w:rPr>
      <w:rFonts w:cstheme="minorBidi"/>
      <w:bCs w:val="0"/>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1CB6"/>
    <w:pPr>
      <w:spacing w:after="0" w:line="240" w:lineRule="auto"/>
    </w:pPr>
    <w:rPr>
      <w:bCs w:val="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40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056"/>
    <w:rPr>
      <w:rFonts w:cstheme="minorBidi"/>
      <w:bCs w:val="0"/>
      <w:color w:val="auto"/>
      <w:szCs w:val="22"/>
    </w:rPr>
  </w:style>
  <w:style w:type="paragraph" w:styleId="Footer">
    <w:name w:val="footer"/>
    <w:basedOn w:val="Normal"/>
    <w:link w:val="FooterChar"/>
    <w:uiPriority w:val="99"/>
    <w:semiHidden/>
    <w:unhideWhenUsed/>
    <w:rsid w:val="00E400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0056"/>
    <w:rPr>
      <w:rFonts w:cstheme="minorBidi"/>
      <w:bCs w:val="0"/>
      <w:color w:val="auto"/>
      <w:szCs w:val="22"/>
    </w:rPr>
  </w:style>
  <w:style w:type="paragraph" w:styleId="BalloonText">
    <w:name w:val="Balloon Text"/>
    <w:basedOn w:val="Normal"/>
    <w:link w:val="BalloonTextChar"/>
    <w:uiPriority w:val="99"/>
    <w:semiHidden/>
    <w:unhideWhenUsed/>
    <w:rsid w:val="00722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2F5"/>
    <w:rPr>
      <w:rFonts w:ascii="Segoe UI" w:hAnsi="Segoe UI" w:cs="Segoe UI"/>
      <w:bCs w:val="0"/>
      <w:color w:val="auto"/>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2022-03-18T02:15:00Z</cp:lastPrinted>
  <dcterms:created xsi:type="dcterms:W3CDTF">2022-03-18T02:03:00Z</dcterms:created>
  <dcterms:modified xsi:type="dcterms:W3CDTF">2022-03-18T03:59:00Z</dcterms:modified>
</cp:coreProperties>
</file>